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2"/>
        <w:spacing w:before="0" w:line="560" w:lineRule="exact"/>
        <w:ind w:firstLine="480"/>
      </w:pPr>
    </w:p>
    <w:p>
      <w:pPr>
        <w:spacing w:line="560" w:lineRule="exact"/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首批上线的医疗机构名单</w:t>
      </w:r>
    </w:p>
    <w:bookmarkEnd w:id="0"/>
    <w:p>
      <w:pPr>
        <w:pStyle w:val="2"/>
        <w:spacing w:before="0" w:line="560" w:lineRule="exact"/>
        <w:ind w:firstLine="480"/>
      </w:pPr>
    </w:p>
    <w:tbl>
      <w:tblPr>
        <w:tblStyle w:val="3"/>
        <w:tblW w:w="939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740"/>
        <w:gridCol w:w="96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/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/>
              <w:ind w:firstLine="482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机构名称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/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/>
              <w:ind w:firstLine="482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广西医科大学第一附属医院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崇左市人民医院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广西骨伤医院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大新县人民医院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南宁市第一人民医院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贺州市人民医院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南宁市第二人民医院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广西壮族自治区桂东人民医院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柳州市人民医院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八步区新兴社区卫生服务中心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柳州市工人医院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玉林市中西医结合骨科医院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柳州市柳铁中心医院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容县人民医院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桂林市人民医院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河池市人民医院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桂林市中医医院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河池市宜州区人民医院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梧州市中医医院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钦州市第一人民医院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藤县人民医院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钦州市第二人民医院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北海市人民医院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防城港市第一人民医院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合浦县人民医院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防城港市中医医院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兴宾区人民医院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贵港市中医医院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武宣县桐岭中心卫生院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beforeLines="30" w:afterLines="3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平南县中医医院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7A9228C"/>
    <w:rsid w:val="57A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Cs w:val="24"/>
    </w:rPr>
  </w:style>
  <w:style w:type="paragraph" w:customStyle="1" w:styleId="5">
    <w:name w:val="表居中"/>
    <w:qFormat/>
    <w:uiPriority w:val="0"/>
    <w:pPr>
      <w:snapToGrid w:val="0"/>
      <w:spacing w:line="300" w:lineRule="auto"/>
      <w:jc w:val="center"/>
    </w:pPr>
    <w:rPr>
      <w:rFonts w:eastAsia="仿宋_GB2312" w:asciiTheme="minorHAnsi" w:hAnsiTheme="minorHAnsi" w:cstheme="minorBidi"/>
      <w:color w:val="000000" w:themeColor="text1"/>
      <w:kern w:val="2"/>
      <w:sz w:val="28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2023-09-07T08:55:00Z</dcterms:created>
  <dc:creator>纯粹几何</dc:creator>
  <cp:lastModifiedBy>纯粹几何</cp:lastModifiedBy>
  <dcterms:modified xsi:type="dcterms:W3CDTF">2023-09-07T08:55:47Z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F23E31A859994493853F39730F82B6DA_11</vt:lpwstr>
  </property>
</Properties>
</file>